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161513"/>
          <w:sz w:val="32"/>
        </w:rPr>
        <w:t>APEX CHECKLIST 03: CONSULTANT BRIEFING &amp; HANDOFF AUDIT</w:t>
      </w:r>
    </w:p>
    <w:p>
      <w:r>
        <w:rPr>
          <w:rFonts w:ascii="Arial" w:hAnsi="Arial"/>
          <w:color w:val="6B6862"/>
          <w:sz w:val="20"/>
        </w:rPr>
        <w:t>Protocol: Customer Arrival &amp; Welcome Protocol — Step 03 &amp; 04</w:t>
        <w:br/>
        <w:t>Role Owner: Sales Consultant / Experience Specialist</w:t>
        <w:br/>
        <w:t>Governance: Official Operating Standard · Precision Audit Protocol</w:t>
      </w:r>
    </w:p>
    <w:p/>
    <w:p>
      <w:r>
        <w:rPr>
          <w:rFonts w:ascii="Arial" w:hAnsi="Arial"/>
          <w:b/>
          <w:color w:val="161513"/>
          <w:sz w:val="22"/>
        </w:rPr>
        <w:t>OPERATIONAL COMPLIANCE AUDIT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6480"/>
          </w:tcPr>
          <w:p>
            <w:r>
              <w:t>Audit Verification Criteria</w:t>
            </w:r>
          </w:p>
        </w:tc>
        <w:tc>
          <w:tcPr>
            <w:tcW w:type="dxa" w:w="1440"/>
          </w:tcPr>
          <w:p>
            <w:r>
              <w:t>Sign-off</w:t>
            </w:r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Consultant presence at lounge within 3 minutes of customer arrival confirmation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Professional personal introduction delivered and business card presented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Needs discovery interview completed using APEX digital tablet framework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Vehicle walkthrough conducted focusing on high-touch design &amp; technology highlights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Test drive agreement and driver license verification completed accurately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Test drive vehicle sanitization and state of charge (SoC) / fuel verified prior to departure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Customer feedback recorded and subsequent step (proposal/follow-up) agreed upon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CRM record updated with customer preferences and audit checklist logged</w:t>
            </w:r>
          </w:p>
        </w:tc>
        <w:tc>
          <w:tcPr>
            <w:tcW w:type="dxa" w:w="1440"/>
          </w:tcPr>
          <w:p>
            <w:r/>
          </w:p>
        </w:tc>
      </w:tr>
    </w:tbl>
    <w:p/>
    <w:p>
      <w:r>
        <w:rPr>
          <w:rFonts w:ascii="Arial" w:hAnsi="Arial"/>
          <w:i/>
          <w:color w:val="969696"/>
          <w:sz w:val="18"/>
        </w:rPr>
        <w:t>APEX Experience Excellence · JSW Motors Operating Protocol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