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161513"/>
          <w:sz w:val="32"/>
        </w:rPr>
        <w:t>APEX CHECKLIST 01: SECURITY GATE ARRIVAL &amp; TRIAGE</w:t>
      </w:r>
    </w:p>
    <w:p>
      <w:r>
        <w:rPr>
          <w:rFonts w:ascii="Arial" w:hAnsi="Arial"/>
          <w:color w:val="6B6862"/>
          <w:sz w:val="20"/>
        </w:rPr>
        <w:t>Protocol: Customer Arrival &amp; Welcome Protocol — Step 01</w:t>
        <w:br/>
        <w:t>Role Owner: Security Guard / Gate Operations</w:t>
        <w:br/>
        <w:t>Governance: Official Operating Standard · Precision Audit Protocol</w:t>
      </w:r>
    </w:p>
    <w:p/>
    <w:p>
      <w:r>
        <w:rPr>
          <w:rFonts w:ascii="Arial" w:hAnsi="Arial"/>
          <w:b/>
          <w:color w:val="161513"/>
          <w:sz w:val="22"/>
        </w:rPr>
        <w:t>OPERATIONAL COMPLIANCE AUDIT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6480"/>
          </w:tcPr>
          <w:p>
            <w:r>
              <w:t>Audit Verification Criteria</w:t>
            </w:r>
          </w:p>
        </w:tc>
        <w:tc>
          <w:tcPr>
            <w:tcW w:type="dxa" w:w="1440"/>
          </w:tcPr>
          <w:p>
            <w:r>
              <w:t>Sign-off</w:t>
            </w:r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Gate reception initiated within 15 seconds of vehicle approach to perimeter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Uniform and personal presentation standard verified (clean vest, APEX ID badge)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Standard warm greeting delivered clearly: "Welcome to JSW Motors Experience Centre"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Vehicle registration plate recorded and checked against pre-booked appointments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Customer intent identified (Sales Consultation / Test Drive / Delivery / Service)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Dedicated visitor parking bay allocated or Valet handoff initiated immediately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Arrival notification triggered to Front Desk Hostess via handheld/APEX terminal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Gate clearance barrier operated safely and visitor directed smoothly to main foyer</w:t>
            </w:r>
          </w:p>
        </w:tc>
        <w:tc>
          <w:tcPr>
            <w:tcW w:type="dxa" w:w="1440"/>
          </w:tcPr>
          <w:p>
            <w:r/>
          </w:p>
        </w:tc>
      </w:tr>
    </w:tbl>
    <w:p/>
    <w:p>
      <w:r>
        <w:rPr>
          <w:rFonts w:ascii="Arial" w:hAnsi="Arial"/>
          <w:i/>
          <w:color w:val="969696"/>
          <w:sz w:val="18"/>
        </w:rPr>
        <w:t>APEX Experience Excellence · JSW Motors Operating Protocol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